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20" w:rsidRDefault="00B04820" w:rsidP="00B04820">
      <w:pPr>
        <w:jc w:val="center"/>
        <w:rPr>
          <w:b/>
        </w:rPr>
      </w:pPr>
    </w:p>
    <w:tbl>
      <w:tblPr>
        <w:tblStyle w:val="Grigliatabella"/>
        <w:tblW w:w="9639" w:type="dxa"/>
        <w:tblInd w:w="109" w:type="dxa"/>
        <w:tblLook w:val="04A0"/>
      </w:tblPr>
      <w:tblGrid>
        <w:gridCol w:w="1415"/>
        <w:gridCol w:w="8224"/>
      </w:tblGrid>
      <w:tr w:rsidR="00B04820" w:rsidTr="00CE6850">
        <w:tc>
          <w:tcPr>
            <w:tcW w:w="1415" w:type="dxa"/>
            <w:tcBorders>
              <w:top w:val="nil"/>
              <w:left w:val="nil"/>
              <w:bottom w:val="nil"/>
              <w:right w:val="nil"/>
            </w:tcBorders>
            <w:shd w:val="clear" w:color="auto" w:fill="auto"/>
          </w:tcPr>
          <w:p w:rsidR="00B04820" w:rsidRDefault="00B04820" w:rsidP="00CE6850">
            <w:pPr>
              <w:tabs>
                <w:tab w:val="left" w:pos="3322"/>
              </w:tabs>
              <w:jc w:val="center"/>
              <w:rPr>
                <w:rFonts w:ascii="Castellar" w:hAnsi="Castellar"/>
                <w:b/>
                <w:sz w:val="40"/>
                <w:szCs w:val="40"/>
              </w:rPr>
            </w:pPr>
            <w:r>
              <w:rPr>
                <w:noProof/>
              </w:rPr>
              <w:drawing>
                <wp:inline distT="0" distB="0" distL="19050" distR="9525">
                  <wp:extent cx="733425" cy="8001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5" cstate="print"/>
                          <a:stretch>
                            <a:fillRect/>
                          </a:stretch>
                        </pic:blipFill>
                        <pic:spPr bwMode="auto">
                          <a:xfrm>
                            <a:off x="0" y="0"/>
                            <a:ext cx="733425" cy="800100"/>
                          </a:xfrm>
                          <a:prstGeom prst="rect">
                            <a:avLst/>
                          </a:prstGeom>
                        </pic:spPr>
                      </pic:pic>
                    </a:graphicData>
                  </a:graphic>
                </wp:inline>
              </w:drawing>
            </w:r>
          </w:p>
        </w:tc>
        <w:tc>
          <w:tcPr>
            <w:tcW w:w="8223" w:type="dxa"/>
            <w:tcBorders>
              <w:top w:val="nil"/>
              <w:left w:val="nil"/>
              <w:bottom w:val="nil"/>
              <w:right w:val="nil"/>
            </w:tcBorders>
            <w:shd w:val="clear" w:color="auto" w:fill="auto"/>
          </w:tcPr>
          <w:p w:rsidR="00B04820" w:rsidRDefault="00B04820" w:rsidP="00CE6850">
            <w:pPr>
              <w:tabs>
                <w:tab w:val="left" w:pos="3322"/>
              </w:tabs>
              <w:jc w:val="center"/>
            </w:pPr>
            <w:r>
              <w:rPr>
                <w:rFonts w:ascii="Garamond" w:hAnsi="Garamond" w:cs="Arial"/>
                <w:b/>
                <w:sz w:val="36"/>
                <w:szCs w:val="36"/>
              </w:rPr>
              <w:t>ISTITUTO COMPRENSIVO STATALE n.1</w:t>
            </w:r>
          </w:p>
          <w:p w:rsidR="00B04820" w:rsidRDefault="00B04820" w:rsidP="00CE6850">
            <w:pPr>
              <w:tabs>
                <w:tab w:val="left" w:pos="3322"/>
              </w:tabs>
              <w:jc w:val="center"/>
            </w:pPr>
            <w:r>
              <w:rPr>
                <w:rFonts w:ascii="Garamond" w:hAnsi="Garamond" w:cs="Arial"/>
                <w:b/>
                <w:sz w:val="44"/>
                <w:szCs w:val="44"/>
              </w:rPr>
              <w:t>“</w:t>
            </w:r>
            <w:r>
              <w:rPr>
                <w:rFonts w:ascii="Garamond" w:hAnsi="Garamond" w:cs="Arial"/>
                <w:b/>
                <w:i/>
                <w:sz w:val="44"/>
                <w:szCs w:val="44"/>
              </w:rPr>
              <w:t xml:space="preserve">don Lorenzo </w:t>
            </w:r>
            <w:proofErr w:type="spellStart"/>
            <w:r>
              <w:rPr>
                <w:rFonts w:ascii="Garamond" w:hAnsi="Garamond" w:cs="Arial"/>
                <w:b/>
                <w:i/>
                <w:sz w:val="44"/>
                <w:szCs w:val="44"/>
              </w:rPr>
              <w:t>Milani</w:t>
            </w:r>
            <w:proofErr w:type="spellEnd"/>
            <w:r>
              <w:rPr>
                <w:rFonts w:ascii="Garamond" w:hAnsi="Garamond" w:cs="Arial"/>
                <w:b/>
                <w:sz w:val="44"/>
                <w:szCs w:val="44"/>
              </w:rPr>
              <w:t xml:space="preserve">” </w:t>
            </w:r>
          </w:p>
          <w:p w:rsidR="00B04820" w:rsidRDefault="00B04820" w:rsidP="00CE6850">
            <w:pPr>
              <w:tabs>
                <w:tab w:val="left" w:pos="3322"/>
              </w:tabs>
              <w:jc w:val="center"/>
            </w:pPr>
            <w:r>
              <w:rPr>
                <w:rFonts w:ascii="Garamond" w:hAnsi="Garamond"/>
                <w:sz w:val="18"/>
                <w:szCs w:val="18"/>
              </w:rPr>
              <w:t xml:space="preserve">Via Monfalcone n.414/A 19123 - LA SPEZIA   </w:t>
            </w:r>
            <w:r>
              <w:rPr>
                <w:rFonts w:ascii="Wingdings" w:eastAsia="Wingdings" w:hAnsi="Wingdings" w:cs="Wingdings"/>
                <w:sz w:val="18"/>
                <w:szCs w:val="18"/>
              </w:rPr>
              <w:t></w:t>
            </w:r>
            <w:r>
              <w:rPr>
                <w:rFonts w:ascii="Garamond" w:hAnsi="Garamond"/>
                <w:sz w:val="18"/>
                <w:szCs w:val="18"/>
              </w:rPr>
              <w:t xml:space="preserve"> 0187 711258  </w:t>
            </w:r>
            <w:r>
              <w:rPr>
                <w:rFonts w:ascii="Wingdings" w:eastAsia="Wingdings" w:hAnsi="Wingdings" w:cs="Wingdings"/>
                <w:sz w:val="18"/>
                <w:szCs w:val="18"/>
              </w:rPr>
              <w:t></w:t>
            </w:r>
            <w:r>
              <w:rPr>
                <w:rFonts w:ascii="Garamond" w:hAnsi="Garamond"/>
                <w:sz w:val="18"/>
                <w:szCs w:val="18"/>
              </w:rPr>
              <w:t xml:space="preserve">0187 711018 </w:t>
            </w:r>
          </w:p>
          <w:p w:rsidR="00B04820" w:rsidRDefault="00B04820" w:rsidP="00CE6850">
            <w:pPr>
              <w:tabs>
                <w:tab w:val="left" w:pos="3322"/>
              </w:tabs>
              <w:jc w:val="center"/>
            </w:pPr>
            <w:r>
              <w:rPr>
                <w:rFonts w:ascii="Garamond" w:hAnsi="Garamond"/>
                <w:b/>
                <w:sz w:val="18"/>
                <w:szCs w:val="18"/>
              </w:rPr>
              <w:t xml:space="preserve">C.F. 91071830110 – C.M. SPIC814006 - C.U. UFF2EQ </w:t>
            </w:r>
          </w:p>
          <w:p w:rsidR="00B04820" w:rsidRDefault="00B04820" w:rsidP="00CE6850">
            <w:pPr>
              <w:tabs>
                <w:tab w:val="left" w:pos="3322"/>
              </w:tabs>
              <w:jc w:val="center"/>
            </w:pPr>
            <w:r>
              <w:rPr>
                <w:rFonts w:ascii="Garamond" w:hAnsi="Garamond"/>
                <w:sz w:val="18"/>
                <w:szCs w:val="18"/>
              </w:rPr>
              <w:t xml:space="preserve">CARISPEZIA IBAN: </w:t>
            </w:r>
            <w:r>
              <w:rPr>
                <w:sz w:val="18"/>
                <w:szCs w:val="18"/>
              </w:rPr>
              <w:t>IT 12V 06230 10728 000035652471</w:t>
            </w:r>
            <w:r>
              <w:rPr>
                <w:rFonts w:ascii="Garamond" w:hAnsi="Garamond"/>
                <w:sz w:val="18"/>
                <w:szCs w:val="18"/>
              </w:rPr>
              <w:t>– T.U. 0316565</w:t>
            </w:r>
          </w:p>
          <w:p w:rsidR="00B04820" w:rsidRDefault="00A126B1" w:rsidP="00CE6850">
            <w:pPr>
              <w:pStyle w:val="Titolo"/>
              <w:tabs>
                <w:tab w:val="left" w:pos="3322"/>
              </w:tabs>
            </w:pPr>
            <w:hyperlink r:id="rId6">
              <w:r w:rsidR="00B04820">
                <w:rPr>
                  <w:rStyle w:val="CollegamentoInternet"/>
                  <w:rFonts w:ascii="Garamond" w:eastAsiaTheme="majorEastAsia" w:hAnsi="Garamond" w:cs="Arial"/>
                  <w:b w:val="0"/>
                  <w:sz w:val="18"/>
                  <w:szCs w:val="18"/>
                </w:rPr>
                <w:t xml:space="preserve">e-mail </w:t>
              </w:r>
            </w:hyperlink>
            <w:hyperlink r:id="rId7">
              <w:r w:rsidR="00B04820">
                <w:rPr>
                  <w:rStyle w:val="CollegamentoInternet"/>
                  <w:rFonts w:ascii="Garamond" w:eastAsiaTheme="majorEastAsia" w:hAnsi="Garamond" w:cs="Arial"/>
                  <w:b w:val="0"/>
                  <w:sz w:val="18"/>
                  <w:szCs w:val="18"/>
                </w:rPr>
                <w:t>spic814006@istruzione.it</w:t>
              </w:r>
            </w:hyperlink>
            <w:r w:rsidR="00B04820">
              <w:rPr>
                <w:rStyle w:val="CollegamentoInternet"/>
                <w:rFonts w:ascii="Garamond" w:eastAsiaTheme="majorEastAsia" w:hAnsi="Garamond" w:cs="Arial"/>
                <w:b w:val="0"/>
                <w:sz w:val="18"/>
                <w:szCs w:val="18"/>
              </w:rPr>
              <w:t xml:space="preserve">  PEC: </w:t>
            </w:r>
            <w:hyperlink r:id="rId8">
              <w:r w:rsidR="00B04820">
                <w:rPr>
                  <w:rStyle w:val="CollegamentoInternet"/>
                  <w:rFonts w:ascii="Garamond" w:eastAsiaTheme="majorEastAsia" w:hAnsi="Garamond" w:cs="Arial"/>
                  <w:b w:val="0"/>
                  <w:sz w:val="18"/>
                  <w:szCs w:val="18"/>
                </w:rPr>
                <w:t>spic814006@pec.istruzione.it</w:t>
              </w:r>
            </w:hyperlink>
            <w:r w:rsidR="00B04820">
              <w:rPr>
                <w:rStyle w:val="CollegamentoInternet"/>
                <w:rFonts w:ascii="Garamond" w:eastAsiaTheme="majorEastAsia" w:hAnsi="Garamond" w:cs="Arial"/>
                <w:b w:val="0"/>
                <w:sz w:val="18"/>
                <w:szCs w:val="18"/>
              </w:rPr>
              <w:t xml:space="preserve"> sito:</w:t>
            </w:r>
            <w:r w:rsidR="00B04820">
              <w:rPr>
                <w:rStyle w:val="CollegamentoInternet"/>
                <w:rFonts w:eastAsiaTheme="majorEastAsia"/>
                <w:b w:val="0"/>
              </w:rPr>
              <w:t xml:space="preserve"> </w:t>
            </w:r>
            <w:r w:rsidR="00B04820">
              <w:rPr>
                <w:rStyle w:val="CollegamentoInternet"/>
                <w:rFonts w:ascii="Garamond" w:eastAsiaTheme="majorEastAsia" w:hAnsi="Garamond" w:cs="Arial"/>
                <w:b w:val="0"/>
                <w:sz w:val="18"/>
                <w:szCs w:val="18"/>
              </w:rPr>
              <w:t xml:space="preserve"> </w:t>
            </w:r>
            <w:hyperlink w:history="1">
              <w:r w:rsidR="00B04820" w:rsidRPr="008142F1">
                <w:rPr>
                  <w:rStyle w:val="Collegamentoipertestuale"/>
                  <w:rFonts w:ascii="Garamond" w:hAnsi="Garamond" w:cs="Arial"/>
                  <w:b w:val="0"/>
                  <w:sz w:val="18"/>
                  <w:szCs w:val="18"/>
                </w:rPr>
                <w:t xml:space="preserve">www.isa1donmilanisp.edu.it </w:t>
              </w:r>
            </w:hyperlink>
          </w:p>
        </w:tc>
      </w:tr>
    </w:tbl>
    <w:p w:rsidR="0090241A" w:rsidRDefault="0090241A"/>
    <w:p w:rsidR="0090241A" w:rsidRPr="00B04820" w:rsidRDefault="00B04820" w:rsidP="00B04820">
      <w:pPr>
        <w:jc w:val="center"/>
        <w:rPr>
          <w:rFonts w:ascii="Garamond" w:hAnsi="Garamond"/>
          <w:b/>
          <w:sz w:val="24"/>
          <w:szCs w:val="24"/>
        </w:rPr>
      </w:pPr>
      <w:r w:rsidRPr="00B04820">
        <w:rPr>
          <w:rFonts w:ascii="Garamond" w:hAnsi="Garamond"/>
          <w:b/>
          <w:sz w:val="24"/>
          <w:szCs w:val="24"/>
        </w:rPr>
        <w:t>PROTOCOLLO PER LA SOMMINISTRAZIONE DEI FARMACI A SCUOLA</w:t>
      </w:r>
    </w:p>
    <w:p w:rsidR="0090241A" w:rsidRPr="00B04820" w:rsidRDefault="0090241A" w:rsidP="00B04820">
      <w:pPr>
        <w:jc w:val="both"/>
        <w:rPr>
          <w:rFonts w:ascii="Garamond" w:hAnsi="Garamond"/>
          <w:sz w:val="24"/>
          <w:szCs w:val="24"/>
        </w:rPr>
      </w:pPr>
      <w:r w:rsidRPr="00B04820">
        <w:rPr>
          <w:rFonts w:ascii="Garamond" w:hAnsi="Garamond"/>
          <w:sz w:val="24"/>
          <w:szCs w:val="24"/>
        </w:rPr>
        <w:t>In considerazione dei possibili casi in cui possa rendersi necessario, in via temporanea o permanente, somministrare farmaci agli alunni in orario scolastico, sulla base dei protocolli stipulati tra Ministero della Salute e Ministero dell’Istruzione</w:t>
      </w:r>
      <w:r w:rsidR="00D36D6D">
        <w:rPr>
          <w:rFonts w:ascii="Garamond" w:hAnsi="Garamond"/>
          <w:sz w:val="24"/>
          <w:szCs w:val="24"/>
        </w:rPr>
        <w:t xml:space="preserve"> </w:t>
      </w:r>
      <w:r w:rsidR="00D36D6D" w:rsidRPr="00D36D6D">
        <w:rPr>
          <w:rFonts w:ascii="Garamond" w:hAnsi="Garamond"/>
          <w:sz w:val="24"/>
          <w:szCs w:val="24"/>
        </w:rPr>
        <w:t>e</w:t>
      </w:r>
      <w:r w:rsidRPr="00D36D6D">
        <w:rPr>
          <w:rFonts w:ascii="Garamond" w:hAnsi="Garamond"/>
          <w:sz w:val="24"/>
          <w:szCs w:val="24"/>
        </w:rPr>
        <w:t xml:space="preserve"> </w:t>
      </w:r>
      <w:r w:rsidR="00D36D6D" w:rsidRPr="00D36D6D">
        <w:rPr>
          <w:rFonts w:ascii="Garamond" w:hAnsi="Garamond" w:cs="Verdana-Identity-H"/>
          <w:sz w:val="24"/>
          <w:szCs w:val="24"/>
        </w:rPr>
        <w:t xml:space="preserve">secondo le </w:t>
      </w:r>
      <w:r w:rsidR="00D36D6D" w:rsidRPr="00D36D6D">
        <w:rPr>
          <w:rFonts w:ascii="Garamond" w:hAnsi="Garamond" w:cs="Verdana-Identity-H"/>
          <w:i/>
          <w:sz w:val="24"/>
          <w:szCs w:val="24"/>
        </w:rPr>
        <w:t>“</w:t>
      </w:r>
      <w:r w:rsidR="00D36D6D" w:rsidRPr="00D36D6D">
        <w:rPr>
          <w:rFonts w:ascii="Garamond" w:hAnsi="Garamond"/>
          <w:i/>
          <w:color w:val="000000"/>
          <w:sz w:val="24"/>
          <w:szCs w:val="24"/>
        </w:rPr>
        <w:t>Linee guida per la somministrazione dei farmaci in orario scolastico, Nota 2312 del 25.11.2005”</w:t>
      </w:r>
      <w:r w:rsidR="00D36D6D">
        <w:rPr>
          <w:b/>
          <w:i/>
          <w:color w:val="000000"/>
          <w:sz w:val="24"/>
          <w:szCs w:val="24"/>
          <w:lang w:eastAsia="it-IT"/>
        </w:rPr>
        <w:t xml:space="preserve"> </w:t>
      </w:r>
      <w:r w:rsidR="00B04820" w:rsidRPr="00B04820">
        <w:rPr>
          <w:rFonts w:ascii="Garamond" w:hAnsi="Garamond"/>
          <w:sz w:val="24"/>
          <w:szCs w:val="24"/>
        </w:rPr>
        <w:t xml:space="preserve"> si precisano </w:t>
      </w:r>
      <w:r w:rsidRPr="00B04820">
        <w:rPr>
          <w:rFonts w:ascii="Garamond" w:hAnsi="Garamond"/>
          <w:sz w:val="24"/>
          <w:szCs w:val="24"/>
        </w:rPr>
        <w:t xml:space="preserve">le condizioni in cui ciò possa essere consentito individuando un percorso di intervento nelle singole situazioni, per la necessaria attenzione da parte </w:t>
      </w:r>
      <w:r w:rsidR="00D36D6D">
        <w:rPr>
          <w:rFonts w:ascii="Garamond" w:hAnsi="Garamond"/>
          <w:sz w:val="24"/>
          <w:szCs w:val="24"/>
        </w:rPr>
        <w:t>della scuola</w:t>
      </w:r>
      <w:r w:rsidRPr="00B04820">
        <w:rPr>
          <w:rFonts w:ascii="Garamond" w:hAnsi="Garamond"/>
          <w:sz w:val="24"/>
          <w:szCs w:val="24"/>
        </w:rPr>
        <w:t xml:space="preserve"> alla centralità dell’alunno e per la conseguente consapevolezza della priorità di tutelarne la salute e il benessere. </w:t>
      </w:r>
      <w:r w:rsidR="00D36D6D">
        <w:rPr>
          <w:rFonts w:ascii="Garamond" w:hAnsi="Garamond"/>
          <w:sz w:val="24"/>
          <w:szCs w:val="24"/>
        </w:rPr>
        <w:t>Procedura</w:t>
      </w:r>
      <w:r w:rsidRPr="00B04820">
        <w:rPr>
          <w:rFonts w:ascii="Garamond" w:hAnsi="Garamond"/>
          <w:sz w:val="24"/>
          <w:szCs w:val="24"/>
        </w:rPr>
        <w:t xml:space="preserve">: </w:t>
      </w:r>
    </w:p>
    <w:p w:rsidR="0090241A" w:rsidRPr="00B04820" w:rsidRDefault="0090241A" w:rsidP="00B04820">
      <w:pPr>
        <w:jc w:val="both"/>
        <w:rPr>
          <w:rFonts w:ascii="Garamond" w:hAnsi="Garamond"/>
          <w:sz w:val="24"/>
          <w:szCs w:val="24"/>
        </w:rPr>
      </w:pPr>
      <w:r w:rsidRPr="00B04820">
        <w:rPr>
          <w:rFonts w:ascii="Garamond" w:hAnsi="Garamond"/>
          <w:sz w:val="24"/>
          <w:szCs w:val="24"/>
        </w:rPr>
        <w:t>1. I farmaci a scuola (o comunque durante le attività scolastiche) non devono essere somministrati né possono essere autosomministrati, salvo i casi autorizzati dai medici del S.S.N. e/o dai Pediatri di famiglia;</w:t>
      </w:r>
    </w:p>
    <w:p w:rsidR="0090241A" w:rsidRPr="00B04820" w:rsidRDefault="0090241A" w:rsidP="00B04820">
      <w:pPr>
        <w:jc w:val="both"/>
        <w:rPr>
          <w:rFonts w:ascii="Garamond" w:hAnsi="Garamond"/>
          <w:sz w:val="24"/>
          <w:szCs w:val="24"/>
        </w:rPr>
      </w:pPr>
      <w:r w:rsidRPr="00B04820">
        <w:rPr>
          <w:rFonts w:ascii="Garamond" w:hAnsi="Garamond"/>
          <w:sz w:val="24"/>
          <w:szCs w:val="24"/>
        </w:rPr>
        <w:t>2. I genitori fanno richiesta di somministrazione dei farmaci in orario scolastico</w:t>
      </w:r>
      <w:r w:rsidR="001A2A1F">
        <w:rPr>
          <w:rFonts w:ascii="Garamond" w:hAnsi="Garamond"/>
          <w:sz w:val="24"/>
          <w:szCs w:val="24"/>
        </w:rPr>
        <w:t>(</w:t>
      </w:r>
      <w:proofErr w:type="spellStart"/>
      <w:r w:rsidR="001A2A1F">
        <w:rPr>
          <w:rFonts w:ascii="Garamond" w:hAnsi="Garamond"/>
          <w:sz w:val="24"/>
          <w:szCs w:val="24"/>
        </w:rPr>
        <w:t>all.A</w:t>
      </w:r>
      <w:proofErr w:type="spellEnd"/>
      <w:r w:rsidR="001A2A1F">
        <w:rPr>
          <w:rFonts w:ascii="Garamond" w:hAnsi="Garamond"/>
          <w:sz w:val="24"/>
          <w:szCs w:val="24"/>
        </w:rPr>
        <w:t>)</w:t>
      </w:r>
    </w:p>
    <w:p w:rsidR="0090241A" w:rsidRPr="00B04820" w:rsidRDefault="0090241A" w:rsidP="00B04820">
      <w:pPr>
        <w:jc w:val="both"/>
        <w:rPr>
          <w:rFonts w:ascii="Garamond" w:hAnsi="Garamond"/>
          <w:sz w:val="24"/>
          <w:szCs w:val="24"/>
        </w:rPr>
      </w:pPr>
      <w:r w:rsidRPr="00B04820">
        <w:rPr>
          <w:rFonts w:ascii="Garamond" w:hAnsi="Garamond"/>
          <w:sz w:val="24"/>
          <w:szCs w:val="24"/>
        </w:rPr>
        <w:t xml:space="preserve"> 3. I medici del S.S.N. e/o i Pediatri di famiglia devono </w:t>
      </w:r>
      <w:r w:rsidR="00B04820" w:rsidRPr="00B04820">
        <w:rPr>
          <w:rFonts w:ascii="Garamond" w:hAnsi="Garamond"/>
          <w:sz w:val="24"/>
          <w:szCs w:val="24"/>
        </w:rPr>
        <w:t>autorizzare</w:t>
      </w:r>
      <w:r w:rsidR="00EB5763">
        <w:rPr>
          <w:rFonts w:ascii="Garamond" w:hAnsi="Garamond"/>
          <w:sz w:val="24"/>
          <w:szCs w:val="24"/>
        </w:rPr>
        <w:t xml:space="preserve"> (</w:t>
      </w:r>
      <w:proofErr w:type="spellStart"/>
      <w:r w:rsidR="00EB5763">
        <w:rPr>
          <w:rFonts w:ascii="Garamond" w:hAnsi="Garamond"/>
          <w:sz w:val="24"/>
          <w:szCs w:val="24"/>
        </w:rPr>
        <w:t>all.B</w:t>
      </w:r>
      <w:proofErr w:type="spellEnd"/>
      <w:r w:rsidR="00EB5763">
        <w:rPr>
          <w:rFonts w:ascii="Garamond" w:hAnsi="Garamond"/>
          <w:sz w:val="24"/>
          <w:szCs w:val="24"/>
        </w:rPr>
        <w:t>)</w:t>
      </w:r>
      <w:r w:rsidR="00B04820" w:rsidRPr="00B04820">
        <w:rPr>
          <w:rFonts w:ascii="Garamond" w:hAnsi="Garamond"/>
          <w:sz w:val="24"/>
          <w:szCs w:val="24"/>
        </w:rPr>
        <w:t xml:space="preserve"> la somministrazione e</w:t>
      </w:r>
      <w:r w:rsidRPr="00B04820">
        <w:rPr>
          <w:rFonts w:ascii="Garamond" w:hAnsi="Garamond"/>
          <w:sz w:val="24"/>
          <w:szCs w:val="24"/>
        </w:rPr>
        <w:t xml:space="preserve"> certificare:</w:t>
      </w:r>
    </w:p>
    <w:p w:rsidR="00B04820" w:rsidRPr="00B04820" w:rsidRDefault="0090241A" w:rsidP="00B04820">
      <w:pPr>
        <w:pStyle w:val="Paragrafoelenco"/>
        <w:numPr>
          <w:ilvl w:val="0"/>
          <w:numId w:val="2"/>
        </w:numPr>
        <w:jc w:val="both"/>
        <w:rPr>
          <w:rFonts w:ascii="Garamond" w:hAnsi="Garamond"/>
          <w:sz w:val="24"/>
          <w:szCs w:val="24"/>
        </w:rPr>
      </w:pPr>
      <w:r w:rsidRPr="00B04820">
        <w:rPr>
          <w:rFonts w:ascii="Garamond" w:hAnsi="Garamond"/>
          <w:sz w:val="24"/>
          <w:szCs w:val="24"/>
        </w:rPr>
        <w:t>l’assoluta necessità della somministrazione in orario scolastico;</w:t>
      </w:r>
    </w:p>
    <w:p w:rsidR="00B04820" w:rsidRPr="00B04820" w:rsidRDefault="0090241A" w:rsidP="00B04820">
      <w:pPr>
        <w:pStyle w:val="Paragrafoelenco"/>
        <w:numPr>
          <w:ilvl w:val="0"/>
          <w:numId w:val="2"/>
        </w:numPr>
        <w:jc w:val="both"/>
        <w:rPr>
          <w:rFonts w:ascii="Garamond" w:hAnsi="Garamond"/>
          <w:sz w:val="24"/>
          <w:szCs w:val="24"/>
        </w:rPr>
      </w:pPr>
      <w:r w:rsidRPr="00B04820">
        <w:rPr>
          <w:rFonts w:ascii="Garamond" w:hAnsi="Garamond"/>
          <w:sz w:val="24"/>
          <w:szCs w:val="24"/>
        </w:rPr>
        <w:t xml:space="preserve">la non discrezionalità da parte di chi somministra il farmaco, né in relazione all’individuazione degli eventi in cui occorre somministrare il farmaco, né in relazione ai tempi, alla posologia e alle modalità di somministrazione e di conservazione del farmaco; </w:t>
      </w:r>
    </w:p>
    <w:p w:rsidR="0090241A" w:rsidRPr="00B04820" w:rsidRDefault="0090241A" w:rsidP="00B04820">
      <w:pPr>
        <w:pStyle w:val="Paragrafoelenco"/>
        <w:numPr>
          <w:ilvl w:val="0"/>
          <w:numId w:val="2"/>
        </w:numPr>
        <w:jc w:val="both"/>
        <w:rPr>
          <w:rFonts w:ascii="Garamond" w:hAnsi="Garamond"/>
          <w:sz w:val="24"/>
          <w:szCs w:val="24"/>
        </w:rPr>
      </w:pPr>
      <w:r w:rsidRPr="00B04820">
        <w:rPr>
          <w:rFonts w:ascii="Garamond" w:hAnsi="Garamond"/>
          <w:sz w:val="24"/>
          <w:szCs w:val="24"/>
        </w:rPr>
        <w:t>la fattibilità della somministrazione da parte di personale non sanitario.</w:t>
      </w:r>
    </w:p>
    <w:p w:rsidR="00B04820" w:rsidRPr="00B04820" w:rsidRDefault="0090241A" w:rsidP="00B04820">
      <w:pPr>
        <w:ind w:left="709" w:hanging="283"/>
        <w:jc w:val="both"/>
        <w:rPr>
          <w:rFonts w:ascii="Garamond" w:hAnsi="Garamond"/>
          <w:sz w:val="24"/>
          <w:szCs w:val="24"/>
        </w:rPr>
      </w:pPr>
      <w:r w:rsidRPr="00B04820">
        <w:rPr>
          <w:rFonts w:ascii="Garamond" w:hAnsi="Garamond"/>
          <w:sz w:val="24"/>
          <w:szCs w:val="24"/>
        </w:rPr>
        <w:t xml:space="preserve"> -  Il certificato deve inoltre contenere, esplicitati in modo chiaramente leggibile, senza possibilità di equivoci e/o errori: </w:t>
      </w:r>
    </w:p>
    <w:p w:rsidR="00B04820" w:rsidRPr="00B04820" w:rsidRDefault="0090241A" w:rsidP="00B04820">
      <w:pPr>
        <w:pStyle w:val="Paragrafoelenco"/>
        <w:numPr>
          <w:ilvl w:val="0"/>
          <w:numId w:val="1"/>
        </w:numPr>
        <w:jc w:val="both"/>
        <w:rPr>
          <w:rFonts w:ascii="Garamond" w:hAnsi="Garamond"/>
          <w:sz w:val="24"/>
          <w:szCs w:val="24"/>
        </w:rPr>
      </w:pPr>
      <w:r w:rsidRPr="00B04820">
        <w:rPr>
          <w:rFonts w:ascii="Garamond" w:hAnsi="Garamond"/>
          <w:sz w:val="24"/>
          <w:szCs w:val="24"/>
        </w:rPr>
        <w:t>nome e cognome dello studente;</w:t>
      </w:r>
    </w:p>
    <w:p w:rsidR="00B04820" w:rsidRPr="00B04820" w:rsidRDefault="00B04820" w:rsidP="00B04820">
      <w:pPr>
        <w:pStyle w:val="Paragrafoelenco"/>
        <w:numPr>
          <w:ilvl w:val="0"/>
          <w:numId w:val="1"/>
        </w:numPr>
        <w:jc w:val="both"/>
        <w:rPr>
          <w:rFonts w:ascii="Garamond" w:hAnsi="Garamond"/>
          <w:sz w:val="24"/>
          <w:szCs w:val="24"/>
        </w:rPr>
      </w:pPr>
      <w:r w:rsidRPr="00B04820">
        <w:rPr>
          <w:rFonts w:ascii="Garamond" w:hAnsi="Garamond"/>
          <w:sz w:val="24"/>
          <w:szCs w:val="24"/>
        </w:rPr>
        <w:t xml:space="preserve">nome commerciale del farmaco; </w:t>
      </w:r>
    </w:p>
    <w:p w:rsidR="00B04820" w:rsidRPr="00B04820" w:rsidRDefault="0090241A" w:rsidP="00B04820">
      <w:pPr>
        <w:pStyle w:val="Paragrafoelenco"/>
        <w:numPr>
          <w:ilvl w:val="0"/>
          <w:numId w:val="1"/>
        </w:numPr>
        <w:jc w:val="both"/>
        <w:rPr>
          <w:rFonts w:ascii="Garamond" w:hAnsi="Garamond"/>
          <w:sz w:val="24"/>
          <w:szCs w:val="24"/>
        </w:rPr>
      </w:pPr>
      <w:r w:rsidRPr="00B04820">
        <w:rPr>
          <w:rFonts w:ascii="Garamond" w:hAnsi="Garamond"/>
          <w:sz w:val="24"/>
          <w:szCs w:val="24"/>
        </w:rPr>
        <w:t>descrizione oggettiva dell’evento che richiede la somministrazione del farmaco o dell’orario da rispe</w:t>
      </w:r>
      <w:r w:rsidR="00B04820" w:rsidRPr="00B04820">
        <w:rPr>
          <w:rFonts w:ascii="Garamond" w:hAnsi="Garamond"/>
          <w:sz w:val="24"/>
          <w:szCs w:val="24"/>
        </w:rPr>
        <w:t xml:space="preserve">ttare per la somministrazione; </w:t>
      </w:r>
    </w:p>
    <w:p w:rsidR="00B04820" w:rsidRPr="00B04820" w:rsidRDefault="00B04820" w:rsidP="00B04820">
      <w:pPr>
        <w:pStyle w:val="Paragrafoelenco"/>
        <w:numPr>
          <w:ilvl w:val="0"/>
          <w:numId w:val="1"/>
        </w:numPr>
        <w:jc w:val="both"/>
        <w:rPr>
          <w:rFonts w:ascii="Garamond" w:hAnsi="Garamond"/>
          <w:sz w:val="24"/>
          <w:szCs w:val="24"/>
        </w:rPr>
      </w:pPr>
      <w:r w:rsidRPr="00B04820">
        <w:rPr>
          <w:rFonts w:ascii="Garamond" w:hAnsi="Garamond"/>
          <w:sz w:val="24"/>
          <w:szCs w:val="24"/>
        </w:rPr>
        <w:t xml:space="preserve">dose da somministrare; </w:t>
      </w:r>
    </w:p>
    <w:p w:rsidR="00B04820" w:rsidRPr="00B04820" w:rsidRDefault="0090241A" w:rsidP="00B04820">
      <w:pPr>
        <w:pStyle w:val="Paragrafoelenco"/>
        <w:numPr>
          <w:ilvl w:val="0"/>
          <w:numId w:val="1"/>
        </w:numPr>
        <w:jc w:val="both"/>
        <w:rPr>
          <w:rFonts w:ascii="Garamond" w:hAnsi="Garamond"/>
          <w:sz w:val="24"/>
          <w:szCs w:val="24"/>
        </w:rPr>
      </w:pPr>
      <w:r w:rsidRPr="00B04820">
        <w:rPr>
          <w:rFonts w:ascii="Garamond" w:hAnsi="Garamond"/>
          <w:sz w:val="24"/>
          <w:szCs w:val="24"/>
        </w:rPr>
        <w:t>modalità di somministrazione e di conservazione del farmaco;</w:t>
      </w:r>
    </w:p>
    <w:p w:rsidR="0090241A" w:rsidRPr="00B04820" w:rsidRDefault="0090241A" w:rsidP="00B04820">
      <w:pPr>
        <w:pStyle w:val="Paragrafoelenco"/>
        <w:numPr>
          <w:ilvl w:val="0"/>
          <w:numId w:val="1"/>
        </w:numPr>
        <w:jc w:val="both"/>
        <w:rPr>
          <w:rFonts w:ascii="Garamond" w:hAnsi="Garamond"/>
          <w:sz w:val="24"/>
          <w:szCs w:val="24"/>
        </w:rPr>
      </w:pPr>
      <w:r w:rsidRPr="00B04820">
        <w:rPr>
          <w:rFonts w:ascii="Garamond" w:hAnsi="Garamond"/>
          <w:sz w:val="24"/>
          <w:szCs w:val="24"/>
        </w:rPr>
        <w:t>i possibili effetti collaterali e le azioni da intraprendere in caso si verificassero; - durata della terapia.</w:t>
      </w:r>
    </w:p>
    <w:p w:rsidR="00A85364" w:rsidRDefault="0090241A" w:rsidP="00B04820">
      <w:pPr>
        <w:ind w:left="426" w:hanging="426"/>
        <w:jc w:val="both"/>
        <w:rPr>
          <w:rFonts w:ascii="Garamond" w:hAnsi="Garamond"/>
          <w:sz w:val="24"/>
          <w:szCs w:val="24"/>
        </w:rPr>
      </w:pPr>
      <w:r w:rsidRPr="00B04820">
        <w:rPr>
          <w:rFonts w:ascii="Garamond" w:hAnsi="Garamond"/>
          <w:sz w:val="24"/>
          <w:szCs w:val="24"/>
        </w:rPr>
        <w:t xml:space="preserve"> </w:t>
      </w:r>
      <w:r w:rsidR="00B04820" w:rsidRPr="00B04820">
        <w:rPr>
          <w:rFonts w:ascii="Garamond" w:hAnsi="Garamond"/>
          <w:sz w:val="24"/>
          <w:szCs w:val="24"/>
        </w:rPr>
        <w:t xml:space="preserve">5. La famiglia consegna </w:t>
      </w:r>
      <w:r w:rsidRPr="00B04820">
        <w:rPr>
          <w:rFonts w:ascii="Garamond" w:hAnsi="Garamond"/>
          <w:sz w:val="24"/>
          <w:szCs w:val="24"/>
        </w:rPr>
        <w:t xml:space="preserve"> al Dirigente scolastico la richiesta unitamente al certificato medico </w:t>
      </w:r>
    </w:p>
    <w:p w:rsidR="00B04820" w:rsidRDefault="00B04820" w:rsidP="00B04820">
      <w:pPr>
        <w:ind w:left="426" w:hanging="426"/>
        <w:jc w:val="both"/>
        <w:rPr>
          <w:rFonts w:ascii="Garamond" w:hAnsi="Garamond"/>
          <w:sz w:val="24"/>
          <w:szCs w:val="24"/>
        </w:rPr>
      </w:pPr>
      <w:r w:rsidRPr="00B04820">
        <w:rPr>
          <w:rFonts w:ascii="Garamond" w:hAnsi="Garamond"/>
          <w:sz w:val="24"/>
          <w:szCs w:val="24"/>
        </w:rPr>
        <w:t xml:space="preserve">6. </w:t>
      </w:r>
      <w:r w:rsidR="0090241A" w:rsidRPr="00B04820">
        <w:rPr>
          <w:rFonts w:ascii="Garamond" w:hAnsi="Garamond"/>
          <w:sz w:val="24"/>
          <w:szCs w:val="24"/>
        </w:rPr>
        <w:t xml:space="preserve">Il Dirigente Scolastico, acquisita la richiesta dalla famiglia ed il certificato medico valuta la fattibilità organizzativa ed individua il gruppo di operatori scolastici disponibili (docenti, non docenti,) da incaricare della somministrazione dei farmaci, garantendo loro, se necessario, la formazione in situazione, con il possibile contributo delle famiglie e dei medici curanti. </w:t>
      </w:r>
    </w:p>
    <w:p w:rsidR="00A85364" w:rsidRPr="00B04820" w:rsidRDefault="00A85364" w:rsidP="00A85364">
      <w:pPr>
        <w:ind w:left="426" w:hanging="426"/>
        <w:jc w:val="both"/>
        <w:rPr>
          <w:rFonts w:ascii="Garamond" w:hAnsi="Garamond"/>
          <w:sz w:val="24"/>
          <w:szCs w:val="24"/>
        </w:rPr>
      </w:pPr>
      <w:r>
        <w:rPr>
          <w:rFonts w:ascii="Garamond" w:hAnsi="Garamond"/>
          <w:sz w:val="24"/>
          <w:szCs w:val="24"/>
        </w:rPr>
        <w:t>7. I genitori consegnano</w:t>
      </w:r>
      <w:r w:rsidR="001A2A1F">
        <w:rPr>
          <w:rFonts w:ascii="Garamond" w:hAnsi="Garamond"/>
          <w:sz w:val="24"/>
          <w:szCs w:val="24"/>
        </w:rPr>
        <w:t xml:space="preserve"> </w:t>
      </w:r>
      <w:r>
        <w:rPr>
          <w:rFonts w:ascii="Garamond" w:hAnsi="Garamond"/>
          <w:sz w:val="24"/>
          <w:szCs w:val="24"/>
        </w:rPr>
        <w:t xml:space="preserve">i </w:t>
      </w:r>
      <w:r w:rsidRPr="00B04820">
        <w:rPr>
          <w:rFonts w:ascii="Garamond" w:hAnsi="Garamond"/>
          <w:sz w:val="24"/>
          <w:szCs w:val="24"/>
        </w:rPr>
        <w:t>farmaci prescritti in confezione integra</w:t>
      </w:r>
      <w:r>
        <w:rPr>
          <w:rFonts w:ascii="Garamond" w:hAnsi="Garamond"/>
          <w:sz w:val="24"/>
          <w:szCs w:val="24"/>
        </w:rPr>
        <w:t>,</w:t>
      </w:r>
      <w:r w:rsidR="001A2A1F">
        <w:rPr>
          <w:rFonts w:ascii="Garamond" w:hAnsi="Garamond"/>
          <w:sz w:val="24"/>
          <w:szCs w:val="24"/>
        </w:rPr>
        <w:t xml:space="preserve"> che saranno  conservati</w:t>
      </w:r>
      <w:r w:rsidRPr="00B04820">
        <w:rPr>
          <w:rFonts w:ascii="Garamond" w:hAnsi="Garamond"/>
          <w:sz w:val="24"/>
          <w:szCs w:val="24"/>
        </w:rPr>
        <w:t xml:space="preserve"> a scuola per tutt</w:t>
      </w:r>
      <w:r>
        <w:rPr>
          <w:rFonts w:ascii="Garamond" w:hAnsi="Garamond"/>
          <w:sz w:val="24"/>
          <w:szCs w:val="24"/>
        </w:rPr>
        <w:t>a la durata del trattamento</w:t>
      </w:r>
      <w:r w:rsidR="00425F52">
        <w:rPr>
          <w:rFonts w:ascii="Garamond" w:hAnsi="Garamond"/>
          <w:sz w:val="24"/>
          <w:szCs w:val="24"/>
        </w:rPr>
        <w:t xml:space="preserve"> in luogo sicuro</w:t>
      </w:r>
      <w:r>
        <w:rPr>
          <w:rFonts w:ascii="Garamond" w:hAnsi="Garamond"/>
          <w:sz w:val="24"/>
          <w:szCs w:val="24"/>
        </w:rPr>
        <w:t>, s</w:t>
      </w:r>
      <w:r w:rsidR="001A2A1F">
        <w:rPr>
          <w:rFonts w:ascii="Garamond" w:hAnsi="Garamond"/>
          <w:sz w:val="24"/>
          <w:szCs w:val="24"/>
        </w:rPr>
        <w:t>arà redatto verbale di consegna(all.D1 oppure D2)</w:t>
      </w:r>
    </w:p>
    <w:p w:rsidR="00A85364" w:rsidRDefault="00A85364" w:rsidP="00B04820">
      <w:pPr>
        <w:ind w:left="426" w:hanging="426"/>
        <w:jc w:val="both"/>
        <w:rPr>
          <w:rFonts w:ascii="Garamond" w:hAnsi="Garamond"/>
          <w:sz w:val="24"/>
          <w:szCs w:val="24"/>
        </w:rPr>
      </w:pPr>
    </w:p>
    <w:p w:rsidR="0090241A" w:rsidRDefault="00B04820" w:rsidP="00B04820">
      <w:pPr>
        <w:ind w:left="284" w:hanging="284"/>
        <w:jc w:val="both"/>
        <w:rPr>
          <w:rFonts w:ascii="Garamond" w:hAnsi="Garamond"/>
          <w:sz w:val="24"/>
          <w:szCs w:val="24"/>
        </w:rPr>
      </w:pPr>
      <w:r w:rsidRPr="00B04820">
        <w:rPr>
          <w:rFonts w:ascii="Garamond" w:hAnsi="Garamond"/>
          <w:sz w:val="24"/>
          <w:szCs w:val="24"/>
        </w:rPr>
        <w:lastRenderedPageBreak/>
        <w:t>8</w:t>
      </w:r>
      <w:r w:rsidR="0090241A" w:rsidRPr="00B04820">
        <w:rPr>
          <w:rFonts w:ascii="Garamond" w:hAnsi="Garamond"/>
          <w:sz w:val="24"/>
          <w:szCs w:val="24"/>
        </w:rPr>
        <w:t xml:space="preserve">. Gestione dell’emergenza: resta comunque prescritto il ricorso al SSN di Pronto Soccorso </w:t>
      </w:r>
      <w:r w:rsidR="008032DF">
        <w:rPr>
          <w:rFonts w:ascii="Garamond" w:hAnsi="Garamond"/>
          <w:sz w:val="24"/>
          <w:szCs w:val="24"/>
        </w:rPr>
        <w:t xml:space="preserve">(112) nei casi di farmaci salva vita, sia </w:t>
      </w:r>
      <w:bookmarkStart w:id="0" w:name="_GoBack"/>
      <w:bookmarkEnd w:id="0"/>
      <w:r w:rsidR="0090241A" w:rsidRPr="00B04820">
        <w:rPr>
          <w:rFonts w:ascii="Garamond" w:hAnsi="Garamond"/>
          <w:sz w:val="24"/>
          <w:szCs w:val="24"/>
        </w:rPr>
        <w:t>nei casi in cui non sia possibile applicare il presente protocollo o questo risulti inefficace.</w:t>
      </w:r>
    </w:p>
    <w:p w:rsidR="008032DF" w:rsidRPr="008032DF" w:rsidRDefault="008032DF" w:rsidP="008032DF">
      <w:pPr>
        <w:pStyle w:val="Paragrafoelenco"/>
        <w:numPr>
          <w:ilvl w:val="0"/>
          <w:numId w:val="3"/>
        </w:numPr>
        <w:ind w:left="284"/>
        <w:jc w:val="both"/>
        <w:rPr>
          <w:rFonts w:ascii="Garamond" w:hAnsi="Garamond"/>
          <w:sz w:val="24"/>
          <w:szCs w:val="24"/>
        </w:rPr>
      </w:pPr>
      <w:r>
        <w:rPr>
          <w:rFonts w:ascii="Garamond" w:hAnsi="Garamond"/>
          <w:sz w:val="24"/>
          <w:szCs w:val="24"/>
        </w:rPr>
        <w:t xml:space="preserve">La famiglia si impegna ad essere sempre reperibile nel periodo di tempo per cui si richiede la somministrazione del farmaco. </w:t>
      </w:r>
    </w:p>
    <w:p w:rsidR="0090241A" w:rsidRPr="00B04820" w:rsidRDefault="00B04820">
      <w:pPr>
        <w:rPr>
          <w:rFonts w:ascii="Garamond" w:hAnsi="Garamond"/>
          <w:sz w:val="24"/>
          <w:szCs w:val="24"/>
        </w:rPr>
      </w:pPr>
      <w:r w:rsidRPr="00B04820">
        <w:rPr>
          <w:rFonts w:ascii="Garamond" w:hAnsi="Garamond"/>
          <w:sz w:val="24"/>
          <w:szCs w:val="24"/>
        </w:rPr>
        <w:t xml:space="preserve">                                                                                </w:t>
      </w:r>
      <w:r>
        <w:rPr>
          <w:rFonts w:ascii="Garamond" w:hAnsi="Garamond"/>
          <w:sz w:val="24"/>
          <w:szCs w:val="24"/>
        </w:rPr>
        <w:t xml:space="preserve">   </w:t>
      </w:r>
      <w:r w:rsidRPr="00B04820">
        <w:rPr>
          <w:rFonts w:ascii="Garamond" w:hAnsi="Garamond"/>
          <w:sz w:val="24"/>
          <w:szCs w:val="24"/>
        </w:rPr>
        <w:t xml:space="preserve">               </w:t>
      </w:r>
    </w:p>
    <w:sectPr w:rsidR="0090241A" w:rsidRPr="00B04820" w:rsidSect="00B04820">
      <w:pgSz w:w="11906" w:h="16838"/>
      <w:pgMar w:top="709"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stellar">
    <w:altName w:val="Athelas Bold Italic"/>
    <w:panose1 w:val="020A04020604060103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Identity-H">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5871"/>
    <w:multiLevelType w:val="hybridMultilevel"/>
    <w:tmpl w:val="8A66DE3C"/>
    <w:lvl w:ilvl="0" w:tplc="04DE3B98">
      <w:start w:val="9"/>
      <w:numFmt w:val="decimal"/>
      <w:lvlText w:val="%1."/>
      <w:lvlJc w:val="left"/>
      <w:pPr>
        <w:ind w:left="124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29733D"/>
    <w:multiLevelType w:val="hybridMultilevel"/>
    <w:tmpl w:val="91A27E9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521A72DD"/>
    <w:multiLevelType w:val="hybridMultilevel"/>
    <w:tmpl w:val="AFEEF4C6"/>
    <w:lvl w:ilvl="0" w:tplc="04100019">
      <w:start w:val="1"/>
      <w:numFmt w:val="lowerLetter"/>
      <w:lvlText w:val="%1."/>
      <w:lvlJc w:val="left"/>
      <w:pPr>
        <w:ind w:left="1245" w:hanging="360"/>
      </w:pPr>
    </w:lvl>
    <w:lvl w:ilvl="1" w:tplc="04100019" w:tentative="1">
      <w:start w:val="1"/>
      <w:numFmt w:val="lowerLetter"/>
      <w:lvlText w:val="%2."/>
      <w:lvlJc w:val="left"/>
      <w:pPr>
        <w:ind w:left="1965" w:hanging="360"/>
      </w:pPr>
    </w:lvl>
    <w:lvl w:ilvl="2" w:tplc="0410001B" w:tentative="1">
      <w:start w:val="1"/>
      <w:numFmt w:val="lowerRoman"/>
      <w:lvlText w:val="%3."/>
      <w:lvlJc w:val="right"/>
      <w:pPr>
        <w:ind w:left="2685" w:hanging="180"/>
      </w:pPr>
    </w:lvl>
    <w:lvl w:ilvl="3" w:tplc="0410000F" w:tentative="1">
      <w:start w:val="1"/>
      <w:numFmt w:val="decimal"/>
      <w:lvlText w:val="%4."/>
      <w:lvlJc w:val="left"/>
      <w:pPr>
        <w:ind w:left="3405" w:hanging="360"/>
      </w:pPr>
    </w:lvl>
    <w:lvl w:ilvl="4" w:tplc="04100019" w:tentative="1">
      <w:start w:val="1"/>
      <w:numFmt w:val="lowerLetter"/>
      <w:lvlText w:val="%5."/>
      <w:lvlJc w:val="left"/>
      <w:pPr>
        <w:ind w:left="4125" w:hanging="360"/>
      </w:pPr>
    </w:lvl>
    <w:lvl w:ilvl="5" w:tplc="0410001B" w:tentative="1">
      <w:start w:val="1"/>
      <w:numFmt w:val="lowerRoman"/>
      <w:lvlText w:val="%6."/>
      <w:lvlJc w:val="right"/>
      <w:pPr>
        <w:ind w:left="4845" w:hanging="180"/>
      </w:pPr>
    </w:lvl>
    <w:lvl w:ilvl="6" w:tplc="0410000F" w:tentative="1">
      <w:start w:val="1"/>
      <w:numFmt w:val="decimal"/>
      <w:lvlText w:val="%7."/>
      <w:lvlJc w:val="left"/>
      <w:pPr>
        <w:ind w:left="5565" w:hanging="360"/>
      </w:pPr>
    </w:lvl>
    <w:lvl w:ilvl="7" w:tplc="04100019" w:tentative="1">
      <w:start w:val="1"/>
      <w:numFmt w:val="lowerLetter"/>
      <w:lvlText w:val="%8."/>
      <w:lvlJc w:val="left"/>
      <w:pPr>
        <w:ind w:left="6285" w:hanging="360"/>
      </w:pPr>
    </w:lvl>
    <w:lvl w:ilvl="8" w:tplc="0410001B" w:tentative="1">
      <w:start w:val="1"/>
      <w:numFmt w:val="lowerRoman"/>
      <w:lvlText w:val="%9."/>
      <w:lvlJc w:val="right"/>
      <w:pPr>
        <w:ind w:left="700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0241A"/>
    <w:rsid w:val="000B736B"/>
    <w:rsid w:val="001A2A1F"/>
    <w:rsid w:val="00207924"/>
    <w:rsid w:val="00425F52"/>
    <w:rsid w:val="0047448B"/>
    <w:rsid w:val="00634A99"/>
    <w:rsid w:val="007B6FFD"/>
    <w:rsid w:val="008032DF"/>
    <w:rsid w:val="0090241A"/>
    <w:rsid w:val="00A126B1"/>
    <w:rsid w:val="00A40B5D"/>
    <w:rsid w:val="00A85364"/>
    <w:rsid w:val="00B04820"/>
    <w:rsid w:val="00D36D6D"/>
    <w:rsid w:val="00E815C0"/>
    <w:rsid w:val="00EB5763"/>
    <w:rsid w:val="00EC5FFC"/>
    <w:rsid w:val="00F61D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B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820"/>
    <w:pPr>
      <w:ind w:left="720"/>
      <w:contextualSpacing/>
    </w:pPr>
  </w:style>
  <w:style w:type="character" w:customStyle="1" w:styleId="TitoloCarattere">
    <w:name w:val="Titolo Carattere"/>
    <w:basedOn w:val="Carpredefinitoparagrafo"/>
    <w:link w:val="Titolo"/>
    <w:qFormat/>
    <w:rsid w:val="00B04820"/>
    <w:rPr>
      <w:rFonts w:ascii="Times New Roman" w:eastAsia="Times New Roman" w:hAnsi="Times New Roman" w:cs="Times New Roman"/>
      <w:b/>
      <w:sz w:val="28"/>
      <w:szCs w:val="20"/>
    </w:rPr>
  </w:style>
  <w:style w:type="character" w:customStyle="1" w:styleId="CollegamentoInternet">
    <w:name w:val="Collegamento Internet"/>
    <w:basedOn w:val="Carpredefinitoparagrafo"/>
    <w:rsid w:val="00B04820"/>
    <w:rPr>
      <w:color w:val="0000FF"/>
      <w:u w:val="single"/>
    </w:rPr>
  </w:style>
  <w:style w:type="paragraph" w:styleId="Titolo">
    <w:name w:val="Title"/>
    <w:basedOn w:val="Normale"/>
    <w:next w:val="Corpodeltesto"/>
    <w:link w:val="TitoloCarattere"/>
    <w:qFormat/>
    <w:rsid w:val="00B04820"/>
    <w:pPr>
      <w:spacing w:after="0" w:line="240" w:lineRule="auto"/>
      <w:jc w:val="center"/>
    </w:pPr>
    <w:rPr>
      <w:rFonts w:ascii="Times New Roman" w:eastAsia="Times New Roman" w:hAnsi="Times New Roman" w:cs="Times New Roman"/>
      <w:b/>
      <w:sz w:val="28"/>
      <w:szCs w:val="20"/>
    </w:rPr>
  </w:style>
  <w:style w:type="character" w:customStyle="1" w:styleId="TitoloCarattere1">
    <w:name w:val="Titolo Carattere1"/>
    <w:basedOn w:val="Carpredefinitoparagrafo"/>
    <w:uiPriority w:val="10"/>
    <w:rsid w:val="00B04820"/>
    <w:rPr>
      <w:rFonts w:asciiTheme="majorHAnsi" w:eastAsiaTheme="majorEastAsia" w:hAnsiTheme="majorHAnsi" w:cstheme="majorBidi"/>
      <w:spacing w:val="-10"/>
      <w:kern w:val="28"/>
      <w:sz w:val="56"/>
      <w:szCs w:val="56"/>
    </w:rPr>
  </w:style>
  <w:style w:type="table" w:styleId="Grigliatabella">
    <w:name w:val="Table Grid"/>
    <w:basedOn w:val="Tabellanormale"/>
    <w:uiPriority w:val="59"/>
    <w:rsid w:val="00B04820"/>
    <w:pPr>
      <w:spacing w:after="0" w:line="240" w:lineRule="auto"/>
    </w:pPr>
    <w:rPr>
      <w:rFonts w:eastAsiaTheme="minorEastAsia"/>
      <w:sz w:val="20"/>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nhideWhenUsed/>
    <w:rsid w:val="00B04820"/>
    <w:rPr>
      <w:color w:val="0563C1" w:themeColor="hyperlink"/>
      <w:u w:val="single"/>
    </w:rPr>
  </w:style>
  <w:style w:type="paragraph" w:styleId="Corpodeltesto">
    <w:name w:val="Body Text"/>
    <w:basedOn w:val="Normale"/>
    <w:link w:val="CorpodeltestoCarattere"/>
    <w:uiPriority w:val="99"/>
    <w:semiHidden/>
    <w:unhideWhenUsed/>
    <w:rsid w:val="00B04820"/>
    <w:pPr>
      <w:spacing w:after="120"/>
    </w:pPr>
  </w:style>
  <w:style w:type="character" w:customStyle="1" w:styleId="CorpodeltestoCarattere">
    <w:name w:val="Corpo del testo Carattere"/>
    <w:basedOn w:val="Carpredefinitoparagrafo"/>
    <w:link w:val="Corpodeltesto"/>
    <w:uiPriority w:val="99"/>
    <w:semiHidden/>
    <w:rsid w:val="00B04820"/>
  </w:style>
  <w:style w:type="paragraph" w:styleId="Testofumetto">
    <w:name w:val="Balloon Text"/>
    <w:basedOn w:val="Normale"/>
    <w:link w:val="TestofumettoCarattere"/>
    <w:uiPriority w:val="99"/>
    <w:semiHidden/>
    <w:unhideWhenUsed/>
    <w:rsid w:val="00634A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c814006@pec.istruzione.it" TargetMode="External"/><Relationship Id="rId3" Type="http://schemas.openxmlformats.org/officeDocument/2006/relationships/settings" Target="settings.xml"/><Relationship Id="rId7" Type="http://schemas.openxmlformats.org/officeDocument/2006/relationships/hyperlink" Target="mailto:spic814006@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1.spezianetweb.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554</Words>
  <Characters>3162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dc:creator>
  <cp:lastModifiedBy>client11</cp:lastModifiedBy>
  <cp:revision>7</cp:revision>
  <dcterms:created xsi:type="dcterms:W3CDTF">2020-09-30T07:15:00Z</dcterms:created>
  <dcterms:modified xsi:type="dcterms:W3CDTF">2020-09-30T07:55:00Z</dcterms:modified>
</cp:coreProperties>
</file>